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u w:val="single"/>
        </w:rPr>
      </w:pPr>
      <w:r>
        <w:rPr>
          <w:b/>
          <w:bCs/>
          <w:u w:val="single"/>
        </w:rPr>
        <w:t>Terms of Use: UK Representatives Datasets</w:t>
      </w:r>
    </w:p>
    <w:p>
      <w:pPr>
        <w:pStyle w:val="Normal"/>
        <w:bidi w:val="0"/>
        <w:jc w:val="both"/>
        <w:rPr/>
      </w:pPr>
      <w:r>
        <w:rPr/>
      </w:r>
    </w:p>
    <w:p>
      <w:pPr>
        <w:pStyle w:val="Normal"/>
        <w:bidi w:val="0"/>
        <w:jc w:val="both"/>
        <w:rPr/>
      </w:pPr>
      <w:r>
        <w:rPr>
          <w:u w:val="none"/>
        </w:rPr>
        <w:t>B</w:t>
      </w:r>
      <w:r>
        <w:rPr/>
        <w:t xml:space="preserve">y providing and accepting receipt of the Dataset, the provider of the Dataset (hereinafter “Provider”) and the receiver of the Dataset </w:t>
      </w:r>
      <w:r>
        <w:rPr>
          <w:u w:val="none"/>
        </w:rPr>
        <w:t>(hereinafter “Receiver”) agree as follows regarding the provision by the Provider to the Receiver of the service described in Article 3 (hereinafter “Service”) and the receipt and management by the Receiver of the dataset described in Article 2 (hereinafter “Dataset”)</w:t>
      </w:r>
      <w:r>
        <w:rPr/>
        <w:t>.</w:t>
      </w:r>
    </w:p>
    <w:p>
      <w:pPr>
        <w:pStyle w:val="Normal"/>
        <w:bidi w:val="0"/>
        <w:jc w:val="both"/>
        <w:rPr/>
      </w:pPr>
      <w:r>
        <w:rPr/>
      </w:r>
    </w:p>
    <w:p>
      <w:pPr>
        <w:pStyle w:val="Normal"/>
        <w:bidi w:val="0"/>
        <w:jc w:val="both"/>
        <w:rPr/>
      </w:pPr>
      <w:r>
        <w:rPr/>
        <w:t>Article 1. Purpose</w:t>
      </w:r>
    </w:p>
    <w:p>
      <w:pPr>
        <w:pStyle w:val="Normal"/>
        <w:bidi w:val="0"/>
        <w:jc w:val="both"/>
        <w:rPr/>
      </w:pPr>
      <w:r>
        <w:rPr/>
        <w:t>The purpose of these terms of use is to set forth terms for the provision of the Service by the Provider and the receipt and management of the Dataset by the Receiver.</w:t>
      </w:r>
    </w:p>
    <w:p>
      <w:pPr>
        <w:pStyle w:val="Normal"/>
        <w:bidi w:val="0"/>
        <w:jc w:val="both"/>
        <w:rPr/>
      </w:pPr>
      <w:r>
        <w:rPr/>
      </w:r>
    </w:p>
    <w:p>
      <w:pPr>
        <w:pStyle w:val="Normal"/>
        <w:bidi w:val="0"/>
        <w:jc w:val="both"/>
        <w:rPr/>
      </w:pPr>
      <w:r>
        <w:rPr/>
        <w:t>Article 2. Definitions</w:t>
      </w:r>
    </w:p>
    <w:p>
      <w:pPr>
        <w:pStyle w:val="Normal"/>
        <w:bidi w:val="0"/>
        <w:jc w:val="both"/>
        <w:rPr/>
      </w:pPr>
      <w:r>
        <w:rPr/>
        <w:t xml:space="preserve">1. </w:t>
      </w:r>
      <w:r>
        <w:rPr>
          <w:i/>
          <w:iCs/>
        </w:rPr>
        <w:t>Dataset</w:t>
      </w:r>
      <w:r>
        <w:rPr/>
        <w:t>: A collection of data including, for example, the name, party, ward, council and email address of UK councillors, as well as other associated data fields, such as council organisational model, electoral arrangements and regular election dates, formatted, for example, as CSV. The fields and associated data in a dataset and its format are to be specified by the Receiver and are described in the Schedule.</w:t>
      </w:r>
    </w:p>
    <w:p>
      <w:pPr>
        <w:pStyle w:val="Normal"/>
        <w:bidi w:val="0"/>
        <w:jc w:val="both"/>
        <w:rPr/>
      </w:pPr>
      <w:r>
        <w:rPr/>
        <w:t xml:space="preserve">2. </w:t>
      </w:r>
      <w:r>
        <w:rPr>
          <w:i/>
          <w:iCs/>
        </w:rPr>
        <w:t>Electoral Year</w:t>
      </w:r>
      <w:r>
        <w:rPr/>
        <w:t>: The period from the May local election in a given year to the date immediately prior to the May local election in the following year.</w:t>
      </w:r>
    </w:p>
    <w:p>
      <w:pPr>
        <w:pStyle w:val="Normal"/>
        <w:bidi w:val="0"/>
        <w:jc w:val="both"/>
        <w:rPr/>
      </w:pPr>
      <w:r>
        <w:rPr/>
      </w:r>
    </w:p>
    <w:p>
      <w:pPr>
        <w:pStyle w:val="Normal"/>
        <w:bidi w:val="0"/>
        <w:jc w:val="both"/>
        <w:rPr/>
      </w:pPr>
      <w:r>
        <w:rPr/>
        <w:t>Article 3. Responsibilities of the Provider</w:t>
      </w:r>
    </w:p>
    <w:p>
      <w:pPr>
        <w:pStyle w:val="Normal"/>
        <w:bidi w:val="0"/>
        <w:jc w:val="both"/>
        <w:rPr/>
      </w:pPr>
      <w:r>
        <w:rPr/>
        <w:t>1. The Provider shall prepare the Dataset according to the details specified by the Receiver in the Schedule and elsewhere, including, for example, the inclusion of specific fields, and supply it to the Receiver via email or download link.</w:t>
      </w:r>
    </w:p>
    <w:p>
      <w:pPr>
        <w:pStyle w:val="Normal"/>
        <w:bidi w:val="0"/>
        <w:jc w:val="both"/>
        <w:rPr/>
      </w:pPr>
      <w:r>
        <w:rPr/>
        <w:t>2. The Provider shall carry out updates on the Dataset as such details become available and provide an updated Dataset to the Receiver according to the update frequency specified in the Schedule.</w:t>
      </w:r>
    </w:p>
    <w:p>
      <w:pPr>
        <w:pStyle w:val="Normal"/>
        <w:bidi w:val="0"/>
        <w:jc w:val="both"/>
        <w:rPr/>
      </w:pPr>
      <w:r>
        <w:rPr/>
        <w:t>3. A large update to the Dataset occurs following May local elections, which requires a substantial amount of time. The Provider shall endeavour to provide an updated Dataset as soon as possible following May local elections, and shall provide said Dataset at the latest by June 1</w:t>
      </w:r>
      <w:r>
        <w:rPr>
          <w:vertAlign w:val="superscript"/>
        </w:rPr>
        <w:t>st</w:t>
      </w:r>
      <w:r>
        <w:rPr/>
        <w:t>.</w:t>
      </w:r>
    </w:p>
    <w:p>
      <w:pPr>
        <w:pStyle w:val="Normal"/>
        <w:bidi w:val="0"/>
        <w:jc w:val="both"/>
        <w:rPr/>
      </w:pPr>
      <w:r>
        <w:rPr/>
      </w:r>
    </w:p>
    <w:p>
      <w:pPr>
        <w:pStyle w:val="Normal"/>
        <w:bidi w:val="0"/>
        <w:jc w:val="both"/>
        <w:rPr/>
      </w:pPr>
      <w:r>
        <w:rPr/>
        <w:t>Article 4. Responsibilities of the Receiver</w:t>
      </w:r>
    </w:p>
    <w:p>
      <w:pPr>
        <w:pStyle w:val="Normal"/>
        <w:bidi w:val="0"/>
        <w:jc w:val="both"/>
        <w:rPr/>
      </w:pPr>
      <w:r>
        <w:rPr/>
        <w:t>1. The Receiver shall not copy, duplicate or reproduce the Dataset except as explicitly authorised by the Provider in the Schedule.</w:t>
      </w:r>
    </w:p>
    <w:p>
      <w:pPr>
        <w:pStyle w:val="Normal"/>
        <w:bidi w:val="0"/>
        <w:jc w:val="both"/>
        <w:rPr/>
      </w:pPr>
      <w:r>
        <w:rPr/>
        <w:t>2. The Receiver shall not distribute the Dataset to any other party except as explicitly authorised by the Provider in the Schedule.</w:t>
      </w:r>
    </w:p>
    <w:p>
      <w:pPr>
        <w:pStyle w:val="Normal"/>
        <w:bidi w:val="0"/>
        <w:jc w:val="both"/>
        <w:rPr/>
      </w:pPr>
      <w:r>
        <w:rPr/>
        <w:t>3. Upon expiry of the effective term of these terms of use, the Receiver shall cease use of the Dataset, including any copies produced or distributed with the authorisation of the Provider, and delete all copies of the Dataset held.</w:t>
      </w:r>
    </w:p>
    <w:p>
      <w:pPr>
        <w:pStyle w:val="Normal"/>
        <w:bidi w:val="0"/>
        <w:jc w:val="both"/>
        <w:rPr/>
      </w:pPr>
      <w:r>
        <w:rPr/>
        <w:t>4. The Receiver shall abide by relevant data protection legislation when handling personal data, including, but not limited to:</w:t>
      </w:r>
    </w:p>
    <w:p>
      <w:pPr>
        <w:pStyle w:val="Normal"/>
        <w:bidi w:val="0"/>
        <w:jc w:val="both"/>
        <w:rPr/>
      </w:pPr>
      <w:r>
        <w:rPr/>
        <w:tab/>
        <w:t>registering with the ICO;</w:t>
      </w:r>
    </w:p>
    <w:p>
      <w:pPr>
        <w:pStyle w:val="Normal"/>
        <w:bidi w:val="0"/>
        <w:jc w:val="both"/>
        <w:rPr/>
      </w:pPr>
      <w:r>
        <w:rPr/>
        <w:tab/>
        <w:t>adopting and implementing a data protection and privacy policy in compliance with UK-</w:t>
        <w:tab/>
        <w:t>GDPR and ensuring processing is fair, lawful and transparent;</w:t>
      </w:r>
    </w:p>
    <w:p>
      <w:pPr>
        <w:pStyle w:val="Normal"/>
        <w:bidi w:val="0"/>
        <w:jc w:val="both"/>
        <w:rPr/>
      </w:pPr>
      <w:r>
        <w:rPr/>
        <w:tab/>
        <w:t>accepting and processing subject access requests;</w:t>
      </w:r>
    </w:p>
    <w:p>
      <w:pPr>
        <w:pStyle w:val="Normal"/>
        <w:bidi w:val="0"/>
        <w:jc w:val="both"/>
        <w:rPr/>
      </w:pPr>
      <w:r>
        <w:rPr/>
        <w:tab/>
        <w:t xml:space="preserve">ensuring they offer subjects an opt-out to communication methods enabled by our datasets, </w:t>
        <w:tab/>
        <w:t xml:space="preserve">and providing valid contact details for </w:t>
      </w:r>
      <w:r>
        <w:rPr/>
        <w:t>such an</w:t>
      </w:r>
      <w:r>
        <w:rPr/>
        <w:t xml:space="preserve"> opt-out;</w:t>
      </w:r>
    </w:p>
    <w:p>
      <w:pPr>
        <w:pStyle w:val="Normal"/>
        <w:bidi w:val="0"/>
        <w:jc w:val="both"/>
        <w:rPr/>
      </w:pPr>
      <w:r>
        <w:rPr/>
        <w:tab/>
        <w:t xml:space="preserve">ensuring they do not disguise or conceal their identity from subjects in any </w:t>
        <w:tab/>
        <w:t>communications enabled by our datasets;</w:t>
      </w:r>
    </w:p>
    <w:p>
      <w:pPr>
        <w:pStyle w:val="Normal"/>
        <w:bidi w:val="0"/>
        <w:jc w:val="both"/>
        <w:rPr/>
      </w:pPr>
      <w:r>
        <w:rPr/>
        <w:tab/>
        <w:t>ensuring they screen all communications against their own ‘do not contact’ lists;</w:t>
      </w:r>
    </w:p>
    <w:p>
      <w:pPr>
        <w:pStyle w:val="Normal"/>
        <w:bidi w:val="0"/>
        <w:jc w:val="both"/>
        <w:rPr/>
      </w:pPr>
      <w:r>
        <w:rPr/>
        <w:tab/>
        <w:t xml:space="preserve">ensuring they screen all telephone communications against the Telephone Preference </w:t>
        <w:tab/>
        <w:t xml:space="preserve">Service, enable their outgoing telephone number to be displayed on the receiving terminal, </w:t>
        <w:tab/>
        <w:t xml:space="preserve">and say who is calling, and if requested provide the subject with a contact address or  </w:t>
        <w:tab/>
        <w:t>number.</w:t>
      </w:r>
    </w:p>
    <w:p>
      <w:pPr>
        <w:pStyle w:val="Normal"/>
        <w:bidi w:val="0"/>
        <w:jc w:val="both"/>
        <w:rPr/>
      </w:pPr>
      <w:r>
        <w:rPr/>
        <w:t>5. The Receiver shall ensure any communications enabled by our datasets are polite and respectful, and that any communications enabled by our datasets are on a topic relevant to the subject. Note that unwarranted direct marketing is not permitted.</w:t>
      </w:r>
    </w:p>
    <w:p>
      <w:pPr>
        <w:pStyle w:val="Normal"/>
        <w:bidi w:val="0"/>
        <w:jc w:val="both"/>
        <w:rPr/>
      </w:pPr>
      <w:r>
        <w:rPr/>
      </w:r>
    </w:p>
    <w:p>
      <w:pPr>
        <w:pStyle w:val="Normal"/>
        <w:bidi w:val="0"/>
        <w:jc w:val="both"/>
        <w:rPr/>
      </w:pPr>
      <w:r>
        <w:rPr/>
        <w:t>Article 5. Fee</w:t>
      </w:r>
    </w:p>
    <w:p>
      <w:pPr>
        <w:pStyle w:val="Normal"/>
        <w:bidi w:val="0"/>
        <w:jc w:val="both"/>
        <w:rPr/>
      </w:pPr>
      <w:r>
        <w:rPr/>
        <w:t>The Receiver shall make payment of the fee according to the details separately provided by the Provider. Upon receipt of the fee, the Provider shall issue the latest Dataset. In the case of an annual model, the next fee shall be due on the anniversary of the initial payment date. In such a case, deliveries of updates to the Dataset shall be timed as per the Schedule.</w:t>
      </w:r>
    </w:p>
    <w:p>
      <w:pPr>
        <w:pStyle w:val="Normal"/>
        <w:bidi w:val="0"/>
        <w:jc w:val="both"/>
        <w:rPr/>
      </w:pPr>
      <w:r>
        <w:rPr/>
      </w:r>
    </w:p>
    <w:p>
      <w:pPr>
        <w:pStyle w:val="Normal"/>
        <w:bidi w:val="0"/>
        <w:jc w:val="both"/>
        <w:rPr/>
      </w:pPr>
      <w:r>
        <w:rPr/>
        <w:t>Article 6. Cancellation</w:t>
      </w:r>
    </w:p>
    <w:p>
      <w:pPr>
        <w:pStyle w:val="Normal"/>
        <w:bidi w:val="0"/>
        <w:jc w:val="both"/>
        <w:rPr/>
      </w:pPr>
      <w:r>
        <w:rPr/>
        <w:t>1. The Receiver may cancel the annual subscription at any time by informing the Provider. Following any such cancellation, the product shall revert to a single use type without updates, and the end of the effective term shall be the date two years following the date of said cancellation. During this period the Receiver may continue to use the Dataset held, and no refund of fees shall be made.</w:t>
      </w:r>
    </w:p>
    <w:p>
      <w:pPr>
        <w:pStyle w:val="Normal"/>
        <w:bidi w:val="0"/>
        <w:jc w:val="both"/>
        <w:rPr/>
      </w:pPr>
      <w:r>
        <w:rPr/>
      </w:r>
    </w:p>
    <w:p>
      <w:pPr>
        <w:pStyle w:val="Normal"/>
        <w:bidi w:val="0"/>
        <w:jc w:val="both"/>
        <w:rPr/>
      </w:pPr>
      <w:r>
        <w:rPr/>
        <w:t>Article 7. Liability</w:t>
      </w:r>
    </w:p>
    <w:p>
      <w:pPr>
        <w:pStyle w:val="Normal"/>
        <w:bidi w:val="0"/>
        <w:jc w:val="both"/>
        <w:rPr/>
      </w:pPr>
      <w:r>
        <w:rPr/>
        <w:t>The Provider shall not be liable for any loss, damage or other negative impact arising as a result of the provision of the Service, including as a result of defects of any kind in the Dataset or delays in its provision. In the event that the Provider is unable to provide the Service, the maximum liability to the Receiver shall be the amount of the annual fee paid for the Service.</w:t>
      </w:r>
    </w:p>
    <w:p>
      <w:pPr>
        <w:pStyle w:val="Normal"/>
        <w:bidi w:val="0"/>
        <w:jc w:val="both"/>
        <w:rPr/>
      </w:pPr>
      <w:r>
        <w:rPr/>
      </w:r>
    </w:p>
    <w:p>
      <w:pPr>
        <w:pStyle w:val="Normal"/>
        <w:bidi w:val="0"/>
        <w:jc w:val="both"/>
        <w:rPr/>
      </w:pPr>
      <w:r>
        <w:rPr/>
        <w:t>Article 8. Disputes</w:t>
      </w:r>
    </w:p>
    <w:p>
      <w:pPr>
        <w:pStyle w:val="Normal"/>
        <w:bidi w:val="0"/>
        <w:jc w:val="both"/>
        <w:rPr/>
      </w:pPr>
      <w:r>
        <w:rPr/>
        <w:t>Any disputes which may arise in relation to the Service shall be settled through negotiation between the Provider and the Receiver.</w:t>
      </w:r>
    </w:p>
    <w:p>
      <w:pPr>
        <w:pStyle w:val="Normal"/>
        <w:bidi w:val="0"/>
        <w:jc w:val="both"/>
        <w:rPr/>
      </w:pPr>
      <w:r>
        <w:rPr/>
      </w:r>
    </w:p>
    <w:p>
      <w:pPr>
        <w:pStyle w:val="Normal"/>
        <w:bidi w:val="0"/>
        <w:jc w:val="both"/>
        <w:rPr/>
      </w:pPr>
      <w:r>
        <w:rPr/>
        <w:t>Article 9. Jurisdiction</w:t>
      </w:r>
    </w:p>
    <w:p>
      <w:pPr>
        <w:pStyle w:val="Normal"/>
        <w:bidi w:val="0"/>
        <w:jc w:val="both"/>
        <w:rPr/>
      </w:pPr>
      <w:r>
        <w:rPr/>
        <w:t>These terms of use shall be governed and construed in accordance with the laws of England and Wales, and shall be subject to the jurisdiction of the courts of England and Wales.</w:t>
      </w:r>
    </w:p>
    <w:p>
      <w:pPr>
        <w:pStyle w:val="Normal"/>
        <w:bidi w:val="0"/>
        <w:jc w:val="both"/>
        <w:rPr/>
      </w:pPr>
      <w:r>
        <w:rPr/>
      </w:r>
    </w:p>
    <w:p>
      <w:pPr>
        <w:pStyle w:val="Normal"/>
        <w:bidi w:val="0"/>
        <w:jc w:val="both"/>
        <w:rPr/>
      </w:pPr>
      <w:r>
        <w:rPr/>
        <w:t>Article 10. Effective Term</w:t>
      </w:r>
    </w:p>
    <w:p>
      <w:pPr>
        <w:pStyle w:val="Normal"/>
        <w:bidi w:val="0"/>
        <w:jc w:val="both"/>
        <w:rPr/>
      </w:pPr>
      <w:r>
        <w:rPr/>
        <w:t>The effective term of these terms of use shall commence on the initial date of payment for the Service, and shall continue provided that the annual fee is paid as described in Article 5. Should the Receiver fail to make payment of the fee under Article 5, the product shall revert to a single use type without updates, and the end of the effective term shall be the date two years following the date of the final annual payment.</w:t>
      </w:r>
    </w:p>
    <w:p>
      <w:pPr>
        <w:pStyle w:val="Normal"/>
        <w:bidi w:val="0"/>
        <w:jc w:val="both"/>
        <w:rPr/>
      </w:pPr>
      <w:r>
        <w:rPr/>
      </w:r>
    </w:p>
    <w:p>
      <w:pPr>
        <w:pStyle w:val="Normal"/>
        <w:bidi w:val="0"/>
        <w:jc w:val="both"/>
        <w:rPr/>
      </w:pPr>
      <w:r>
        <w:rPr/>
      </w:r>
    </w:p>
    <w:p>
      <w:pPr>
        <w:pStyle w:val="Normal"/>
        <w:bidi w:val="0"/>
        <w:jc w:val="left"/>
        <w:rPr/>
      </w:pPr>
      <w:r>
        <w:rPr/>
      </w:r>
    </w:p>
    <w:p>
      <w:pPr>
        <w:pStyle w:val="Normal"/>
        <w:bidi w:val="0"/>
        <w:jc w:val="left"/>
        <w:rPr/>
      </w:pPr>
      <w:r>
        <w:rPr/>
      </w:r>
    </w:p>
    <w:p>
      <w:pPr>
        <w:pStyle w:val="Normal"/>
        <w:bidi w:val="0"/>
        <w:jc w:val="center"/>
        <w:rPr>
          <w:b/>
          <w:bCs/>
          <w:u w:val="single"/>
        </w:rPr>
      </w:pPr>
      <w:r>
        <w:rPr>
          <w:b/>
          <w:bCs/>
          <w:u w:val="single"/>
        </w:rPr>
      </w:r>
      <w:r>
        <w:br w:type="page"/>
      </w:r>
    </w:p>
    <w:p>
      <w:pPr>
        <w:pStyle w:val="Normal"/>
        <w:bidi w:val="0"/>
        <w:spacing w:before="0" w:after="0"/>
        <w:jc w:val="center"/>
        <w:rPr>
          <w:b/>
          <w:bCs/>
          <w:u w:val="single"/>
        </w:rPr>
      </w:pPr>
      <w:r>
        <w:rPr>
          <w:b/>
          <w:bCs/>
          <w:u w:val="single"/>
        </w:rPr>
        <w:t>Schedule</w:t>
      </w:r>
    </w:p>
    <w:p>
      <w:pPr>
        <w:pStyle w:val="Normal"/>
        <w:bidi w:val="0"/>
        <w:jc w:val="left"/>
        <w:rPr/>
      </w:pPr>
      <w:r>
        <w:rPr/>
      </w:r>
    </w:p>
    <w:p>
      <w:pPr>
        <w:pStyle w:val="Normal"/>
        <w:bidi w:val="0"/>
        <w:jc w:val="left"/>
        <w:rPr/>
      </w:pPr>
      <w:r>
        <w:rPr/>
        <w:t>1. Service Type:</w:t>
        <w:tab/>
        <w:t>Annual subscription with updates</w:t>
      </w:r>
    </w:p>
    <w:p>
      <w:pPr>
        <w:pStyle w:val="Normal"/>
        <w:bidi w:val="0"/>
        <w:jc w:val="left"/>
        <w:rPr/>
      </w:pPr>
      <w:r>
        <w:rPr/>
        <w:t>2. Update frequency:</w:t>
        <w:tab/>
        <w:t>Any-time access to latest data</w:t>
      </w:r>
    </w:p>
    <w:p>
      <w:pPr>
        <w:pStyle w:val="Normal"/>
        <w:bidi w:val="0"/>
        <w:jc w:val="left"/>
        <w:rPr/>
      </w:pPr>
      <w:r>
        <w:rPr/>
        <w:t>3. Format:</w:t>
        <w:tab/>
        <w:tab/>
      </w:r>
    </w:p>
    <w:p>
      <w:pPr>
        <w:pStyle w:val="Normal"/>
        <w:bidi w:val="0"/>
        <w:jc w:val="left"/>
        <w:rPr/>
      </w:pPr>
      <w:r>
        <w:rPr/>
        <w:t>4. Delivery:</w:t>
        <w:tab/>
        <w:tab/>
        <w:t>Secure download link</w:t>
      </w:r>
    </w:p>
    <w:p>
      <w:pPr>
        <w:pStyle w:val="Normal"/>
        <w:bidi w:val="0"/>
        <w:jc w:val="left"/>
        <w:rPr/>
      </w:pPr>
      <w:r>
        <w:rPr/>
        <w:t>5. Fields required:</w:t>
      </w:r>
    </w:p>
    <w:p>
      <w:pPr>
        <w:pStyle w:val="Normal"/>
        <w:bidi w:val="0"/>
        <w:jc w:val="left"/>
        <w:rPr/>
      </w:pPr>
      <w:r>
        <w:rPr/>
        <w:t>For all council seats in the UK: Short council name, long council name, region, governance model, election model, ward name, region, council and ward GSS codes, councillor name, party name, electoral commission party code, date of end of term, email address, telephone number(s), correspondence address, leadership position(s).</w:t>
      </w:r>
    </w:p>
    <w:p>
      <w:pPr>
        <w:pStyle w:val="Normal"/>
        <w:bidi w:val="0"/>
        <w:jc w:val="left"/>
        <w:rPr/>
      </w:pPr>
      <w:r>
        <w:rPr/>
      </w:r>
    </w:p>
    <w:p>
      <w:pPr>
        <w:pStyle w:val="Normal"/>
        <w:bidi w:val="0"/>
        <w:jc w:val="left"/>
        <w:rPr/>
      </w:pPr>
      <w:r>
        <w:rPr/>
        <w:t>6. Authorisations:</w:t>
      </w:r>
    </w:p>
    <w:p>
      <w:pPr>
        <w:pStyle w:val="Normal"/>
        <w:bidi w:val="0"/>
        <w:jc w:val="left"/>
        <w:rPr/>
      </w:pPr>
      <w:r>
        <w:rPr/>
        <w:t>The Provider authorises the Receiver to use, make copies of and distribute the Dataset within the  groups described below, to the minimum extent required to achieve the goals of the projects described below.</w:t>
      </w:r>
    </w:p>
    <w:p>
      <w:pPr>
        <w:pStyle w:val="Normal"/>
        <w:bidi w:val="0"/>
        <w:jc w:val="left"/>
        <w:rPr/>
      </w:pPr>
      <w:r>
        <w:rPr/>
      </w:r>
    </w:p>
    <w:p>
      <w:pPr>
        <w:pStyle w:val="Normal"/>
        <w:bidi w:val="0"/>
        <w:jc w:val="left"/>
        <w:rPr/>
      </w:pPr>
      <w:r>
        <w:rPr/>
        <w:t>Projects:</w:t>
      </w:r>
    </w:p>
    <w:p>
      <w:pPr>
        <w:pStyle w:val="Normal"/>
        <w:bidi w:val="0"/>
        <w:jc w:val="left"/>
        <w:rPr/>
      </w:pPr>
      <w:r>
        <w:rPr/>
      </w:r>
    </w:p>
    <w:p>
      <w:pPr>
        <w:pStyle w:val="Normal"/>
        <w:bidi w:val="0"/>
        <w:jc w:val="left"/>
        <w:rPr/>
      </w:pPr>
      <w:r>
        <w:rPr/>
      </w:r>
    </w:p>
    <w:p>
      <w:pPr>
        <w:pStyle w:val="Normal"/>
        <w:bidi w:val="0"/>
        <w:jc w:val="left"/>
        <w:rPr/>
      </w:pPr>
      <w:r>
        <w:rPr/>
        <w:t>Project teams:</w:t>
      </w:r>
    </w:p>
    <w:p>
      <w:pPr>
        <w:pStyle w:val="Normal"/>
        <w:bidi w:val="0"/>
        <w:jc w:val="left"/>
        <w:rPr>
          <w:highlight w:val="none"/>
          <w:shd w:fill="auto" w:val="clear"/>
        </w:rPr>
      </w:pPr>
      <w:r>
        <w:rPr>
          <w:shd w:fill="auto" w:val="clear"/>
        </w:rPr>
      </w:r>
    </w:p>
    <w:p>
      <w:pPr>
        <w:pStyle w:val="Normal"/>
        <w:bidi w:val="0"/>
        <w:jc w:val="left"/>
        <w:rPr/>
      </w:pPr>
      <w:r>
        <w:rPr/>
      </w:r>
    </w:p>
    <w:p>
      <w:pPr>
        <w:pStyle w:val="Normal"/>
        <w:bidi w:val="0"/>
        <w:jc w:val="left"/>
        <w:rPr/>
      </w:pPr>
      <w:r>
        <w:rPr/>
      </w:r>
    </w:p>
    <w:p>
      <w:pPr>
        <w:pStyle w:val="Normal"/>
        <w:bidi w:val="0"/>
        <w:jc w:val="left"/>
        <w:rPr/>
      </w:pPr>
      <w:r>
        <w:rPr/>
        <w:t>Provider</w:t>
      </w:r>
    </w:p>
    <w:p>
      <w:pPr>
        <w:pStyle w:val="Normal"/>
        <w:bidi w:val="0"/>
        <w:jc w:val="left"/>
        <w:rPr/>
      </w:pPr>
      <w:r>
        <w:rPr/>
        <w:t>Name:</w:t>
        <w:tab/>
        <w:tab/>
        <w:tab/>
        <w:t>Jon Lawson</w:t>
      </w:r>
    </w:p>
    <w:p>
      <w:pPr>
        <w:pStyle w:val="Normal"/>
        <w:bidi w:val="0"/>
        <w:jc w:val="left"/>
        <w:rPr/>
      </w:pPr>
      <w:r>
        <w:rPr/>
        <w:t>Organisation:</w:t>
        <w:tab/>
        <w:tab/>
        <w:t>Council Data UK</w:t>
      </w:r>
    </w:p>
    <w:p>
      <w:pPr>
        <w:pStyle w:val="Normal"/>
        <w:bidi w:val="0"/>
        <w:jc w:val="left"/>
        <w:rPr/>
      </w:pPr>
      <w:r>
        <w:rPr/>
        <w:t>Address:</w:t>
        <w:tab/>
        <w:tab/>
        <w:t>135 Howard Road, Sheffield, S6 3RU</w:t>
      </w:r>
    </w:p>
    <w:p>
      <w:pPr>
        <w:pStyle w:val="Normal"/>
        <w:bidi w:val="0"/>
        <w:jc w:val="left"/>
        <w:rPr/>
      </w:pPr>
      <w:r>
        <w:rPr/>
        <w:t>Contact Details:</w:t>
        <w:tab/>
        <w:t>jon@jonlawson.com 07528 211 464</w:t>
      </w:r>
    </w:p>
    <w:p>
      <w:pPr>
        <w:pStyle w:val="Normal"/>
        <w:bidi w:val="0"/>
        <w:jc w:val="left"/>
        <w:rPr/>
      </w:pPr>
      <w:r>
        <w:rPr/>
        <w:tab/>
        <w:tab/>
        <w:tab/>
      </w:r>
    </w:p>
    <w:p>
      <w:pPr>
        <w:pStyle w:val="Normal"/>
        <w:bidi w:val="0"/>
        <w:jc w:val="left"/>
        <w:rPr/>
      </w:pPr>
      <w:r>
        <w:rPr/>
      </w:r>
    </w:p>
    <w:p>
      <w:pPr>
        <w:pStyle w:val="Normal"/>
        <w:bidi w:val="0"/>
        <w:jc w:val="left"/>
        <w:rPr/>
      </w:pPr>
      <w:r>
        <w:rPr/>
        <w:t>Receiver</w:t>
        <w:tab/>
      </w:r>
    </w:p>
    <w:p>
      <w:pPr>
        <w:pStyle w:val="Normal"/>
        <w:bidi w:val="0"/>
        <w:jc w:val="left"/>
        <w:rPr/>
      </w:pPr>
      <w:r>
        <w:rPr/>
        <w:t>Name:</w:t>
        <w:tab/>
        <w:tab/>
        <w:tab/>
      </w:r>
    </w:p>
    <w:p>
      <w:pPr>
        <w:pStyle w:val="Normal"/>
        <w:bidi w:val="0"/>
        <w:jc w:val="left"/>
        <w:rPr/>
      </w:pPr>
      <w:r>
        <w:rPr/>
        <w:t>Organisation:</w:t>
        <w:tab/>
        <w:tab/>
      </w:r>
    </w:p>
    <w:p>
      <w:pPr>
        <w:pStyle w:val="Normal"/>
        <w:bidi w:val="0"/>
        <w:jc w:val="left"/>
        <w:rPr/>
      </w:pPr>
      <w:r>
        <w:rPr/>
        <w:t>Address:</w:t>
        <w:tab/>
        <w:tab/>
      </w:r>
    </w:p>
    <w:p>
      <w:pPr>
        <w:pStyle w:val="Normal"/>
        <w:bidi w:val="0"/>
        <w:jc w:val="left"/>
        <w:rPr/>
      </w:pPr>
      <w:r>
        <w:rPr/>
        <w:t>Contact Details:</w:t>
        <w:tab/>
      </w:r>
    </w:p>
    <w:p>
      <w:pPr>
        <w:pStyle w:val="Normal"/>
        <w:spacing w:before="0" w:after="0"/>
        <w:ind w:hanging="0" w:left="0" w:right="120"/>
        <w:rPr>
          <w:b/>
          <w:strike w:val="false"/>
          <w:dstrike w:val="false"/>
          <w:color w:val="10111A"/>
          <w:u w:val="none"/>
          <w:effect w:val="none"/>
          <w:shd w:fill="FFFFFF" w:val="clear"/>
          <w14:textFill>
            <w14:solidFill>
              <w14:srgbClr w14:val="10111A">
                <w14:alpha w14:val="84313"/>
              </w14:srgbClr>
            </w14:solidFill>
          </w14:textFill>
        </w:rPr>
      </w:pPr>
      <w:r>
        <w:rPr>
          <w:b/>
          <w:strike w:val="false"/>
          <w:dstrike w:val="false"/>
          <w:color w:val="10111A"/>
          <w:u w:val="none"/>
          <w:effect w:val="none"/>
          <w:shd w:fill="FFFFFF" w:val="clear"/>
          <w14:textFill>
            <w14:solidFill>
              <w14:srgbClr w14:val="10111A">
                <w14:alpha w14:val="84313"/>
              </w14:srgbClr>
            </w14:solidFill>
          </w14:textFill>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ab/>
        <w:tab/>
        <w:tab/>
      </w:r>
    </w:p>
    <w:p>
      <w:pPr>
        <w:pStyle w:val="Normal"/>
        <w:bidi w:val="0"/>
        <w:jc w:val="left"/>
        <w:rPr/>
      </w:pPr>
      <w:r>
        <w:rPr/>
        <w:tab/>
        <w:tab/>
        <w:tab/>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GB"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lockQuotation">
    <w:name w:val="Block Quotation"/>
    <w:basedOn w:val="Normal"/>
    <w:qFormat/>
    <w:pPr>
      <w:spacing w:before="0" w:after="283"/>
      <w:ind w:hanging="0" w:left="567" w:right="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712</TotalTime>
  <Application>LibreOffice/24.2.7.2$Linux_X86_64 LibreOffice_project/420$Build-2</Application>
  <AppVersion>15.0000</AppVersion>
  <Pages>3</Pages>
  <Words>1091</Words>
  <Characters>5636</Characters>
  <CharactersWithSpaces>6708</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2023-07-06T09:23:32Z</dcterms:created>
  <dc:creator/>
  <dc:description/>
  <dc:language>en-GB</dc:language>
  <cp:lastModifiedBy/>
  <dcterms:modified xsi:type="dcterms:W3CDTF">2026-06-11T18:11:52Z</dcterms:modified>
  <cp:revision>65</cp:revision>
  <dc:subject/>
  <dc:title/>
</cp:coreProperties>
</file>

<file path=docProps/custom.xml><?xml version="1.0" encoding="utf-8"?>
<Properties xmlns="http://schemas.openxmlformats.org/officeDocument/2006/custom-properties" xmlns:vt="http://schemas.openxmlformats.org/officeDocument/2006/docPropsVTypes"/>
</file>